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全民阅读基地指标（试行）及说明</w:t>
      </w:r>
    </w:p>
    <w:bookmarkEnd w:id="0"/>
    <w:p>
      <w:pPr>
        <w:snapToGrid w:val="0"/>
        <w:spacing w:line="20" w:lineRule="exact"/>
      </w:pPr>
    </w:p>
    <w:tbl>
      <w:tblPr>
        <w:tblStyle w:val="2"/>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1032"/>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45" w:type="dxa"/>
            <w:gridSpan w:val="3"/>
            <w:noWrap w:val="0"/>
            <w:vAlign w:val="center"/>
          </w:tcPr>
          <w:p>
            <w:pPr>
              <w:jc w:val="center"/>
              <w:rPr>
                <w:rFonts w:hint="eastAsia" w:ascii="宋体" w:hAnsi="宋体" w:cs="宋体"/>
                <w:b/>
                <w:bCs/>
                <w:sz w:val="24"/>
              </w:rPr>
            </w:pPr>
            <w:r>
              <w:rPr>
                <w:rFonts w:hint="eastAsia" w:ascii="宋体" w:hAnsi="宋体" w:cs="宋体"/>
                <w:b/>
                <w:bCs/>
                <w:sz w:val="28"/>
                <w:szCs w:val="28"/>
              </w:rPr>
              <w:t>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38" w:type="dxa"/>
            <w:noWrap w:val="0"/>
            <w:vAlign w:val="center"/>
          </w:tcPr>
          <w:p>
            <w:pPr>
              <w:jc w:val="center"/>
              <w:rPr>
                <w:rFonts w:ascii="宋体" w:hAnsi="宋体" w:cs="宋体"/>
                <w:b/>
                <w:bCs/>
                <w:sz w:val="24"/>
              </w:rPr>
            </w:pPr>
            <w:r>
              <w:rPr>
                <w:rFonts w:hint="eastAsia" w:ascii="宋体" w:hAnsi="宋体" w:cs="宋体"/>
                <w:b/>
                <w:bCs/>
                <w:sz w:val="24"/>
              </w:rPr>
              <w:t>指标</w:t>
            </w:r>
          </w:p>
        </w:tc>
        <w:tc>
          <w:tcPr>
            <w:tcW w:w="1032" w:type="dxa"/>
            <w:noWrap w:val="0"/>
            <w:vAlign w:val="center"/>
          </w:tcPr>
          <w:p>
            <w:pPr>
              <w:jc w:val="center"/>
              <w:rPr>
                <w:rFonts w:ascii="宋体" w:hAnsi="宋体" w:cs="宋体"/>
                <w:b/>
                <w:bCs/>
                <w:sz w:val="24"/>
              </w:rPr>
            </w:pPr>
            <w:r>
              <w:rPr>
                <w:rFonts w:hint="eastAsia" w:ascii="宋体" w:hAnsi="宋体" w:cs="宋体"/>
                <w:b/>
                <w:bCs/>
                <w:sz w:val="24"/>
              </w:rPr>
              <w:t>单位</w:t>
            </w:r>
          </w:p>
        </w:tc>
        <w:tc>
          <w:tcPr>
            <w:tcW w:w="5075" w:type="dxa"/>
            <w:noWrap w:val="0"/>
            <w:vAlign w:val="center"/>
          </w:tcPr>
          <w:p>
            <w:pPr>
              <w:jc w:val="center"/>
              <w:rPr>
                <w:rFonts w:ascii="宋体" w:hAnsi="宋体" w:cs="宋体"/>
                <w:b/>
                <w:bCs/>
                <w:sz w:val="24"/>
              </w:rPr>
            </w:pPr>
            <w:r>
              <w:rPr>
                <w:rFonts w:hint="eastAsia" w:ascii="宋体" w:hAnsi="宋体" w:cs="宋体"/>
                <w:b/>
                <w:bCs/>
                <w:sz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5" w:type="dxa"/>
            <w:gridSpan w:val="3"/>
            <w:noWrap w:val="0"/>
            <w:vAlign w:val="center"/>
          </w:tcPr>
          <w:p>
            <w:pPr>
              <w:rPr>
                <w:rFonts w:ascii="黑体" w:hAnsi="黑体" w:eastAsia="黑体" w:cs="黑体"/>
                <w:sz w:val="24"/>
              </w:rPr>
            </w:pPr>
            <w:r>
              <w:rPr>
                <w:rFonts w:hint="eastAsia" w:ascii="宋体" w:hAnsi="宋体" w:cs="宋体"/>
                <w:b/>
                <w:bCs/>
                <w:sz w:val="24"/>
              </w:rPr>
              <w:t>一、基本情况与保障条件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 服务地域面积</w:t>
            </w:r>
          </w:p>
        </w:tc>
        <w:tc>
          <w:tcPr>
            <w:tcW w:w="1032" w:type="dxa"/>
            <w:noWrap w:val="0"/>
            <w:vAlign w:val="center"/>
          </w:tcPr>
          <w:p>
            <w:pPr>
              <w:jc w:val="center"/>
              <w:rPr>
                <w:rFonts w:ascii="宋体" w:hAnsi="宋体" w:cs="宋体"/>
                <w:sz w:val="24"/>
              </w:rPr>
            </w:pPr>
            <w:r>
              <w:rPr>
                <w:rFonts w:hint="eastAsia" w:ascii="宋体" w:hAnsi="宋体" w:cs="宋体"/>
                <w:sz w:val="24"/>
              </w:rPr>
              <w:t>平方公里</w:t>
            </w:r>
          </w:p>
        </w:tc>
        <w:tc>
          <w:tcPr>
            <w:tcW w:w="5075" w:type="dxa"/>
            <w:noWrap w:val="0"/>
            <w:vAlign w:val="center"/>
          </w:tcPr>
          <w:p>
            <w:pPr>
              <w:jc w:val="left"/>
              <w:rPr>
                <w:rFonts w:ascii="宋体" w:hAnsi="宋体" w:cs="宋体"/>
                <w:sz w:val="24"/>
              </w:rPr>
            </w:pPr>
            <w:r>
              <w:rPr>
                <w:rFonts w:hint="eastAsia" w:ascii="宋体" w:hAnsi="宋体" w:cs="宋体"/>
                <w:sz w:val="24"/>
              </w:rPr>
              <w:t>公共图书馆填报直接服务的行政区面积，其他类型图书馆根据自身实际填报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 服务人口</w:t>
            </w:r>
          </w:p>
        </w:tc>
        <w:tc>
          <w:tcPr>
            <w:tcW w:w="1032" w:type="dxa"/>
            <w:noWrap w:val="0"/>
            <w:vAlign w:val="center"/>
          </w:tcPr>
          <w:p>
            <w:pPr>
              <w:jc w:val="center"/>
              <w:rPr>
                <w:rFonts w:ascii="宋体" w:hAnsi="宋体" w:cs="宋体"/>
                <w:sz w:val="24"/>
              </w:rPr>
            </w:pPr>
            <w:r>
              <w:rPr>
                <w:rFonts w:hint="eastAsia" w:ascii="宋体" w:hAnsi="宋体" w:cs="宋体"/>
                <w:sz w:val="24"/>
              </w:rPr>
              <w:t>万人</w:t>
            </w:r>
          </w:p>
        </w:tc>
        <w:tc>
          <w:tcPr>
            <w:tcW w:w="5075" w:type="dxa"/>
            <w:noWrap w:val="0"/>
            <w:vAlign w:val="center"/>
          </w:tcPr>
          <w:p>
            <w:pPr>
              <w:jc w:val="left"/>
              <w:rPr>
                <w:rFonts w:ascii="宋体" w:hAnsi="宋体" w:cs="宋体"/>
                <w:sz w:val="24"/>
              </w:rPr>
            </w:pPr>
            <w:r>
              <w:rPr>
                <w:rFonts w:hint="eastAsia" w:ascii="宋体" w:hAnsi="宋体" w:cs="宋体"/>
                <w:sz w:val="24"/>
              </w:rPr>
              <w:t>公共图书馆填报服务范围内常住人口，学校图书馆填报在校师生人数，其他图书馆按自身实际情况填报服务人口数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3. 馆舍面积</w:t>
            </w:r>
          </w:p>
        </w:tc>
        <w:tc>
          <w:tcPr>
            <w:tcW w:w="1032" w:type="dxa"/>
            <w:noWrap w:val="0"/>
            <w:vAlign w:val="center"/>
          </w:tcPr>
          <w:p>
            <w:pPr>
              <w:jc w:val="center"/>
              <w:rPr>
                <w:rFonts w:ascii="宋体" w:hAnsi="宋体" w:cs="宋体"/>
                <w:sz w:val="24"/>
              </w:rPr>
            </w:pPr>
            <w:r>
              <w:rPr>
                <w:rFonts w:hint="eastAsia" w:ascii="宋体" w:hAnsi="宋体" w:cs="宋体"/>
                <w:sz w:val="24"/>
              </w:rPr>
              <w:t>平方米</w:t>
            </w:r>
          </w:p>
        </w:tc>
        <w:tc>
          <w:tcPr>
            <w:tcW w:w="5075" w:type="dxa"/>
            <w:noWrap w:val="0"/>
            <w:vAlign w:val="center"/>
          </w:tcPr>
          <w:p>
            <w:pPr>
              <w:jc w:val="left"/>
              <w:rPr>
                <w:rFonts w:ascii="宋体" w:hAnsi="宋体" w:cs="宋体"/>
                <w:sz w:val="24"/>
              </w:rPr>
            </w:pPr>
            <w:r>
              <w:rPr>
                <w:rFonts w:hint="eastAsia" w:ascii="宋体" w:hAnsi="宋体" w:cs="宋体"/>
                <w:sz w:val="24"/>
              </w:rPr>
              <w:t>馆本部建筑面积，有2个及以上馆舍的相加，非本馆权属与馆外单位共用的场馆面积不计在内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4. 工作人员</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上年末参与本馆工作的人员数量（含长期聘用制、合同制、人事代理、劳务派遣、社会购买服务的全职工作人员）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4.1 其中：编制内工作人员</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本馆上年末实有的编制内工作人员数量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5. 财政（或上级拨付）经费</w:t>
            </w:r>
          </w:p>
        </w:tc>
        <w:tc>
          <w:tcPr>
            <w:tcW w:w="1032" w:type="dxa"/>
            <w:noWrap w:val="0"/>
            <w:vAlign w:val="center"/>
          </w:tcPr>
          <w:p>
            <w:pPr>
              <w:jc w:val="center"/>
              <w:rPr>
                <w:rFonts w:ascii="宋体" w:hAnsi="宋体" w:cs="宋体"/>
                <w:sz w:val="24"/>
              </w:rPr>
            </w:pPr>
            <w:r>
              <w:rPr>
                <w:rFonts w:hint="eastAsia" w:ascii="宋体" w:hAnsi="宋体" w:cs="宋体"/>
                <w:sz w:val="24"/>
              </w:rPr>
              <w:t>万元</w:t>
            </w:r>
          </w:p>
        </w:tc>
        <w:tc>
          <w:tcPr>
            <w:tcW w:w="5075" w:type="dxa"/>
            <w:noWrap w:val="0"/>
            <w:vAlign w:val="center"/>
          </w:tcPr>
          <w:p>
            <w:pPr>
              <w:jc w:val="left"/>
              <w:rPr>
                <w:rFonts w:ascii="宋体" w:hAnsi="宋体" w:cs="宋体"/>
                <w:sz w:val="24"/>
              </w:rPr>
            </w:pPr>
            <w:r>
              <w:rPr>
                <w:rFonts w:hint="eastAsia" w:ascii="宋体" w:hAnsi="宋体" w:cs="宋体"/>
                <w:sz w:val="24"/>
              </w:rPr>
              <w:t>申报资料时间内（分年度）的财政（上级）经费总额。采用报销经费额度的图书馆可填报上级单位已经报销的本馆年度经费支出总额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6. 馆藏文献</w:t>
            </w:r>
          </w:p>
        </w:tc>
        <w:tc>
          <w:tcPr>
            <w:tcW w:w="1032" w:type="dxa"/>
            <w:noWrap w:val="0"/>
            <w:vAlign w:val="center"/>
          </w:tcPr>
          <w:p>
            <w:pPr>
              <w:jc w:val="center"/>
              <w:rPr>
                <w:rFonts w:ascii="宋体" w:hAnsi="宋体" w:cs="宋体"/>
                <w:sz w:val="24"/>
              </w:rPr>
            </w:pPr>
            <w:r>
              <w:rPr>
                <w:rFonts w:hint="eastAsia" w:ascii="宋体" w:hAnsi="宋体" w:cs="宋体"/>
                <w:sz w:val="24"/>
              </w:rPr>
              <w:t>册/件</w:t>
            </w:r>
          </w:p>
        </w:tc>
        <w:tc>
          <w:tcPr>
            <w:tcW w:w="5075" w:type="dxa"/>
            <w:noWrap w:val="0"/>
            <w:vAlign w:val="center"/>
          </w:tcPr>
          <w:p>
            <w:pPr>
              <w:jc w:val="left"/>
              <w:rPr>
                <w:rFonts w:ascii="宋体" w:hAnsi="宋体" w:cs="宋体"/>
                <w:sz w:val="24"/>
              </w:rPr>
            </w:pPr>
            <w:r>
              <w:rPr>
                <w:rFonts w:hint="eastAsia" w:ascii="宋体" w:hAnsi="宋体" w:cs="宋体"/>
                <w:sz w:val="24"/>
              </w:rPr>
              <w:t>上年末馆藏文献总量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7. 新增藏量</w:t>
            </w:r>
          </w:p>
        </w:tc>
        <w:tc>
          <w:tcPr>
            <w:tcW w:w="1032" w:type="dxa"/>
            <w:noWrap w:val="0"/>
            <w:vAlign w:val="center"/>
          </w:tcPr>
          <w:p>
            <w:pPr>
              <w:jc w:val="center"/>
              <w:rPr>
                <w:rFonts w:ascii="宋体" w:hAnsi="宋体" w:cs="宋体"/>
                <w:sz w:val="24"/>
              </w:rPr>
            </w:pPr>
            <w:r>
              <w:rPr>
                <w:rFonts w:hint="eastAsia" w:ascii="宋体" w:hAnsi="宋体" w:cs="宋体"/>
                <w:sz w:val="24"/>
              </w:rPr>
              <w:t>册/件</w:t>
            </w:r>
          </w:p>
        </w:tc>
        <w:tc>
          <w:tcPr>
            <w:tcW w:w="5075" w:type="dxa"/>
            <w:noWrap w:val="0"/>
            <w:vAlign w:val="center"/>
          </w:tcPr>
          <w:p>
            <w:pPr>
              <w:jc w:val="left"/>
              <w:rPr>
                <w:rFonts w:ascii="宋体" w:hAnsi="宋体" w:cs="宋体"/>
                <w:sz w:val="24"/>
              </w:rPr>
            </w:pPr>
            <w:r>
              <w:rPr>
                <w:rFonts w:hint="eastAsia" w:ascii="宋体" w:hAnsi="宋体" w:cs="宋体"/>
                <w:sz w:val="24"/>
              </w:rPr>
              <w:t>申报资料时间内（分年度）新购进并上架的文献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38" w:type="dxa"/>
            <w:noWrap w:val="0"/>
            <w:vAlign w:val="center"/>
          </w:tcPr>
          <w:p>
            <w:pPr>
              <w:rPr>
                <w:rFonts w:ascii="宋体" w:hAnsi="宋体" w:cs="宋体"/>
                <w:sz w:val="24"/>
              </w:rPr>
            </w:pPr>
            <w:r>
              <w:rPr>
                <w:rFonts w:hint="eastAsia" w:ascii="宋体" w:hAnsi="宋体" w:cs="宋体"/>
                <w:sz w:val="24"/>
              </w:rPr>
              <w:t>8. 数字资源</w:t>
            </w:r>
          </w:p>
        </w:tc>
        <w:tc>
          <w:tcPr>
            <w:tcW w:w="1032" w:type="dxa"/>
            <w:noWrap w:val="0"/>
            <w:vAlign w:val="center"/>
          </w:tcPr>
          <w:p>
            <w:pPr>
              <w:jc w:val="center"/>
              <w:rPr>
                <w:rFonts w:ascii="宋体" w:hAnsi="宋体" w:cs="宋体"/>
                <w:sz w:val="24"/>
              </w:rPr>
            </w:pPr>
            <w:r>
              <w:rPr>
                <w:rFonts w:hint="eastAsia" w:ascii="宋体" w:hAnsi="宋体" w:cs="宋体"/>
                <w:sz w:val="24"/>
              </w:rPr>
              <w:t>个/TB</w:t>
            </w:r>
          </w:p>
        </w:tc>
        <w:tc>
          <w:tcPr>
            <w:tcW w:w="5075" w:type="dxa"/>
            <w:noWrap w:val="0"/>
            <w:vAlign w:val="center"/>
          </w:tcPr>
          <w:p>
            <w:pPr>
              <w:jc w:val="left"/>
              <w:rPr>
                <w:rFonts w:ascii="宋体" w:hAnsi="宋体" w:cs="宋体"/>
                <w:sz w:val="24"/>
              </w:rPr>
            </w:pPr>
            <w:r>
              <w:rPr>
                <w:rFonts w:hint="eastAsia" w:ascii="宋体" w:hAnsi="宋体" w:cs="宋体"/>
                <w:sz w:val="24"/>
              </w:rPr>
              <w:t>通过采购、自建、共享等方式对外服务的数字资源总量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3138" w:type="dxa"/>
            <w:noWrap w:val="0"/>
            <w:vAlign w:val="center"/>
          </w:tcPr>
          <w:p>
            <w:pPr>
              <w:rPr>
                <w:rFonts w:ascii="宋体" w:hAnsi="宋体" w:cs="宋体"/>
                <w:sz w:val="24"/>
              </w:rPr>
            </w:pPr>
            <w:r>
              <w:rPr>
                <w:rFonts w:hint="eastAsia" w:ascii="宋体" w:hAnsi="宋体" w:cs="宋体"/>
                <w:sz w:val="24"/>
              </w:rPr>
              <w:t>9. 数字服务平台</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本馆设立的检索、阅读（包括视听）资源、图书馆服务（包括阅读推广）的网站、微博、公众号、视频号、小程序等数字媒体平台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10. 服务体系情况</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挂分馆牌子、提供本馆服务的馆外服务场所，请说明直属分馆、合作分馆、自助图书馆、流动图书馆、自助借还机或网借社区投递点和新型阅读空间的数量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11. 评估定级等级</w:t>
            </w:r>
          </w:p>
          <w:p>
            <w:pPr>
              <w:rPr>
                <w:rFonts w:ascii="宋体" w:hAnsi="宋体" w:cs="宋体"/>
                <w:sz w:val="24"/>
              </w:rPr>
            </w:pPr>
            <w:r>
              <w:rPr>
                <w:rFonts w:hint="eastAsia" w:ascii="宋体" w:hAnsi="宋体" w:cs="宋体"/>
                <w:sz w:val="24"/>
              </w:rPr>
              <w:t>（公共图书馆填报）</w:t>
            </w:r>
          </w:p>
        </w:tc>
        <w:tc>
          <w:tcPr>
            <w:tcW w:w="1032" w:type="dxa"/>
            <w:noWrap w:val="0"/>
            <w:vAlign w:val="center"/>
          </w:tcPr>
          <w:p>
            <w:pPr>
              <w:jc w:val="center"/>
              <w:rPr>
                <w:rFonts w:ascii="宋体" w:hAnsi="宋体" w:cs="宋体"/>
                <w:sz w:val="24"/>
              </w:rPr>
            </w:pPr>
          </w:p>
        </w:tc>
        <w:tc>
          <w:tcPr>
            <w:tcW w:w="5075" w:type="dxa"/>
            <w:noWrap w:val="0"/>
            <w:vAlign w:val="center"/>
          </w:tcPr>
          <w:p>
            <w:pPr>
              <w:jc w:val="left"/>
              <w:rPr>
                <w:rFonts w:ascii="宋体" w:hAnsi="宋体" w:cs="宋体"/>
                <w:sz w:val="24"/>
              </w:rPr>
            </w:pPr>
            <w:r>
              <w:rPr>
                <w:rFonts w:hint="eastAsia" w:ascii="宋体" w:hAnsi="宋体" w:cs="宋体"/>
                <w:sz w:val="24"/>
              </w:rPr>
              <w:t>距本次申报最近的评估定级确定的等级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3138" w:type="dxa"/>
            <w:noWrap w:val="0"/>
            <w:vAlign w:val="center"/>
          </w:tcPr>
          <w:p>
            <w:pPr>
              <w:rPr>
                <w:rFonts w:ascii="宋体" w:hAnsi="宋体" w:cs="宋体"/>
                <w:sz w:val="24"/>
              </w:rPr>
            </w:pPr>
            <w:r>
              <w:rPr>
                <w:rFonts w:hint="eastAsia" w:ascii="宋体" w:hAnsi="宋体" w:cs="宋体"/>
                <w:sz w:val="24"/>
              </w:rPr>
              <w:t>12. 本馆阅读推广机构</w:t>
            </w:r>
          </w:p>
          <w:p>
            <w:pPr>
              <w:rPr>
                <w:rFonts w:ascii="宋体" w:hAnsi="宋体" w:cs="宋体"/>
                <w:sz w:val="24"/>
              </w:rPr>
            </w:pPr>
            <w:r>
              <w:rPr>
                <w:rFonts w:hint="eastAsia" w:ascii="宋体" w:hAnsi="宋体" w:cs="宋体"/>
                <w:sz w:val="24"/>
              </w:rPr>
              <w:t>（非公共图书馆填报）</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本馆负责阅读推广的部门</w:t>
            </w:r>
          </w:p>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13. 阅读推广的制度</w:t>
            </w:r>
          </w:p>
          <w:p>
            <w:pPr>
              <w:rPr>
                <w:rFonts w:ascii="宋体" w:hAnsi="宋体" w:cs="宋体"/>
                <w:sz w:val="24"/>
              </w:rPr>
            </w:pPr>
            <w:r>
              <w:rPr>
                <w:rFonts w:hint="eastAsia" w:ascii="宋体" w:hAnsi="宋体" w:cs="宋体"/>
                <w:sz w:val="24"/>
              </w:rPr>
              <w:t>（非公共图书馆填报）</w:t>
            </w:r>
          </w:p>
        </w:tc>
        <w:tc>
          <w:tcPr>
            <w:tcW w:w="1032" w:type="dxa"/>
            <w:noWrap w:val="0"/>
            <w:vAlign w:val="center"/>
          </w:tcPr>
          <w:p>
            <w:pPr>
              <w:jc w:val="center"/>
              <w:rPr>
                <w:rFonts w:ascii="宋体" w:hAnsi="宋体" w:cs="宋体"/>
                <w:sz w:val="24"/>
              </w:rPr>
            </w:pPr>
          </w:p>
        </w:tc>
        <w:tc>
          <w:tcPr>
            <w:tcW w:w="5075" w:type="dxa"/>
            <w:noWrap w:val="0"/>
            <w:vAlign w:val="center"/>
          </w:tcPr>
          <w:p>
            <w:pPr>
              <w:jc w:val="left"/>
              <w:rPr>
                <w:rFonts w:ascii="宋体" w:hAnsi="宋体" w:cs="宋体"/>
                <w:sz w:val="24"/>
              </w:rPr>
            </w:pPr>
            <w:r>
              <w:rPr>
                <w:rFonts w:hint="eastAsia" w:ascii="宋体" w:hAnsi="宋体" w:cs="宋体"/>
                <w:sz w:val="24"/>
              </w:rPr>
              <w:t>本馆制订并实施与阅读推广相关的制度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14. 阅读推广专业人员</w:t>
            </w:r>
          </w:p>
          <w:p>
            <w:pPr>
              <w:rPr>
                <w:rFonts w:ascii="宋体" w:hAnsi="宋体" w:cs="宋体"/>
                <w:sz w:val="24"/>
              </w:rPr>
            </w:pPr>
            <w:r>
              <w:rPr>
                <w:rFonts w:hint="eastAsia" w:ascii="宋体" w:hAnsi="宋体" w:cs="宋体"/>
                <w:sz w:val="24"/>
              </w:rPr>
              <w:t>（非公共图书馆填报）</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本馆负责阅读推广工作的专业人员</w:t>
            </w:r>
          </w:p>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14.1其中：阅读推广人</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rPr>
                <w:rFonts w:ascii="宋体" w:hAnsi="宋体" w:cs="宋体"/>
                <w:sz w:val="24"/>
              </w:rPr>
            </w:pPr>
            <w:r>
              <w:rPr>
                <w:rFonts w:hint="eastAsia" w:ascii="宋体" w:hAnsi="宋体" w:cs="宋体"/>
                <w:sz w:val="24"/>
              </w:rPr>
              <w:t>具有中国图书馆学会、省市图书馆学会等颁发的“阅读推广人”证书的专业人员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15. 阅读推广专项经费</w:t>
            </w:r>
          </w:p>
          <w:p>
            <w:pPr>
              <w:rPr>
                <w:rFonts w:ascii="宋体" w:hAnsi="宋体" w:cs="宋体"/>
                <w:sz w:val="24"/>
              </w:rPr>
            </w:pPr>
            <w:r>
              <w:rPr>
                <w:rFonts w:hint="eastAsia" w:ascii="宋体" w:hAnsi="宋体" w:cs="宋体"/>
                <w:sz w:val="24"/>
              </w:rPr>
              <w:t>（非公共图书馆填报）</w:t>
            </w:r>
          </w:p>
        </w:tc>
        <w:tc>
          <w:tcPr>
            <w:tcW w:w="1032" w:type="dxa"/>
            <w:noWrap w:val="0"/>
            <w:vAlign w:val="center"/>
          </w:tcPr>
          <w:p>
            <w:pPr>
              <w:jc w:val="center"/>
              <w:rPr>
                <w:rFonts w:ascii="宋体" w:hAnsi="宋体" w:cs="宋体"/>
                <w:sz w:val="24"/>
              </w:rPr>
            </w:pPr>
            <w:r>
              <w:rPr>
                <w:rFonts w:hint="eastAsia" w:ascii="宋体" w:hAnsi="宋体" w:cs="宋体"/>
                <w:sz w:val="24"/>
              </w:rPr>
              <w:t>万元</w:t>
            </w:r>
          </w:p>
        </w:tc>
        <w:tc>
          <w:tcPr>
            <w:tcW w:w="5075" w:type="dxa"/>
            <w:noWrap w:val="0"/>
            <w:vAlign w:val="center"/>
          </w:tcPr>
          <w:p>
            <w:pPr>
              <w:rPr>
                <w:rFonts w:ascii="宋体" w:hAnsi="宋体" w:cs="宋体"/>
                <w:sz w:val="24"/>
              </w:rPr>
            </w:pPr>
            <w:r>
              <w:rPr>
                <w:rFonts w:hint="eastAsia" w:ascii="宋体" w:hAnsi="宋体" w:cs="宋体"/>
                <w:sz w:val="24"/>
              </w:rPr>
              <w:t>申报资料时间内（分年度）上级拨款中的阅读推广专项经费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5" w:type="dxa"/>
            <w:gridSpan w:val="3"/>
            <w:noWrap w:val="0"/>
            <w:vAlign w:val="center"/>
          </w:tcPr>
          <w:p>
            <w:pPr>
              <w:rPr>
                <w:rFonts w:ascii="宋体" w:hAnsi="宋体" w:cs="宋体"/>
                <w:sz w:val="24"/>
              </w:rPr>
            </w:pPr>
            <w:r>
              <w:rPr>
                <w:rFonts w:hint="eastAsia" w:ascii="宋体" w:hAnsi="宋体" w:cs="宋体"/>
                <w:b/>
                <w:bCs/>
                <w:sz w:val="24"/>
              </w:rPr>
              <w:t>二、工作情况与效能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16. 持证读者</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指在本馆计算机管理系统中能够查到的，以身份证、护照、市民卡等真实身份证件，通过线下或线上办理，且在统计时点仍然持有本馆读者证（包括电子读者证）的读者，高校/学校图书馆填写在校师生数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17. 到馆读者</w:t>
            </w:r>
          </w:p>
        </w:tc>
        <w:tc>
          <w:tcPr>
            <w:tcW w:w="1032" w:type="dxa"/>
            <w:noWrap w:val="0"/>
            <w:vAlign w:val="center"/>
          </w:tcPr>
          <w:p>
            <w:pPr>
              <w:jc w:val="center"/>
              <w:rPr>
                <w:rFonts w:ascii="宋体" w:hAnsi="宋体" w:cs="宋体"/>
                <w:sz w:val="24"/>
              </w:rPr>
            </w:pPr>
            <w:r>
              <w:rPr>
                <w:rFonts w:hint="eastAsia" w:ascii="宋体" w:hAnsi="宋体" w:cs="宋体"/>
                <w:sz w:val="24"/>
              </w:rPr>
              <w:t>人次</w:t>
            </w:r>
          </w:p>
        </w:tc>
        <w:tc>
          <w:tcPr>
            <w:tcW w:w="5075" w:type="dxa"/>
            <w:noWrap w:val="0"/>
            <w:vAlign w:val="center"/>
          </w:tcPr>
          <w:p>
            <w:pPr>
              <w:jc w:val="left"/>
              <w:rPr>
                <w:rFonts w:ascii="宋体" w:hAnsi="宋体" w:cs="宋体"/>
                <w:sz w:val="24"/>
              </w:rPr>
            </w:pPr>
            <w:r>
              <w:rPr>
                <w:rFonts w:hint="eastAsia" w:ascii="宋体" w:hAnsi="宋体" w:cs="宋体"/>
                <w:sz w:val="24"/>
              </w:rPr>
              <w:t>申报资料时间内（分年度）到馆读者人次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18. 外借图书</w:t>
            </w:r>
          </w:p>
        </w:tc>
        <w:tc>
          <w:tcPr>
            <w:tcW w:w="1032" w:type="dxa"/>
            <w:noWrap w:val="0"/>
            <w:vAlign w:val="center"/>
          </w:tcPr>
          <w:p>
            <w:pPr>
              <w:jc w:val="center"/>
              <w:rPr>
                <w:rFonts w:ascii="宋体" w:hAnsi="宋体" w:cs="宋体"/>
                <w:sz w:val="24"/>
              </w:rPr>
            </w:pPr>
            <w:r>
              <w:rPr>
                <w:rFonts w:hint="eastAsia" w:ascii="宋体" w:hAnsi="宋体" w:cs="宋体"/>
                <w:sz w:val="24"/>
              </w:rPr>
              <w:t>册次</w:t>
            </w:r>
          </w:p>
        </w:tc>
        <w:tc>
          <w:tcPr>
            <w:tcW w:w="5075" w:type="dxa"/>
            <w:noWrap w:val="0"/>
            <w:vAlign w:val="center"/>
          </w:tcPr>
          <w:p>
            <w:pPr>
              <w:jc w:val="left"/>
              <w:rPr>
                <w:rFonts w:ascii="宋体" w:hAnsi="宋体" w:cs="宋体"/>
                <w:sz w:val="24"/>
              </w:rPr>
            </w:pPr>
            <w:r>
              <w:rPr>
                <w:rFonts w:hint="eastAsia" w:ascii="宋体" w:hAnsi="宋体" w:cs="宋体"/>
                <w:sz w:val="24"/>
              </w:rPr>
              <w:t>申报资料时间内（分年度）外借图书册次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19. 数字资源（含电子书、电子报刊）阅读及下载量</w:t>
            </w:r>
          </w:p>
        </w:tc>
        <w:tc>
          <w:tcPr>
            <w:tcW w:w="1032" w:type="dxa"/>
            <w:noWrap w:val="0"/>
            <w:vAlign w:val="center"/>
          </w:tcPr>
          <w:p>
            <w:pPr>
              <w:jc w:val="center"/>
              <w:rPr>
                <w:rFonts w:ascii="宋体" w:hAnsi="宋体" w:cs="宋体"/>
                <w:sz w:val="24"/>
              </w:rPr>
            </w:pPr>
            <w:r>
              <w:rPr>
                <w:rFonts w:hint="eastAsia" w:ascii="宋体" w:hAnsi="宋体" w:cs="宋体"/>
                <w:sz w:val="24"/>
              </w:rPr>
              <w:t>篇</w:t>
            </w:r>
          </w:p>
        </w:tc>
        <w:tc>
          <w:tcPr>
            <w:tcW w:w="5075" w:type="dxa"/>
            <w:noWrap w:val="0"/>
            <w:vAlign w:val="center"/>
          </w:tcPr>
          <w:p>
            <w:pPr>
              <w:jc w:val="left"/>
              <w:rPr>
                <w:rFonts w:ascii="宋体" w:hAnsi="宋体" w:cs="宋体"/>
                <w:sz w:val="24"/>
              </w:rPr>
            </w:pPr>
            <w:r>
              <w:rPr>
                <w:rFonts w:hint="eastAsia" w:ascii="宋体" w:hAnsi="宋体" w:cs="宋体"/>
                <w:sz w:val="24"/>
              </w:rPr>
              <w:t>申报资料时间内（分年度）馆藏（含使用权）数字资源的阅读量及下载量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20. 阅读推广活动情况</w:t>
            </w:r>
          </w:p>
        </w:tc>
        <w:tc>
          <w:tcPr>
            <w:tcW w:w="1032" w:type="dxa"/>
            <w:noWrap w:val="0"/>
            <w:vAlign w:val="center"/>
          </w:tcPr>
          <w:p>
            <w:pPr>
              <w:jc w:val="center"/>
              <w:rPr>
                <w:rFonts w:ascii="宋体" w:hAnsi="宋体" w:cs="宋体"/>
                <w:sz w:val="24"/>
              </w:rPr>
            </w:pPr>
          </w:p>
        </w:tc>
        <w:tc>
          <w:tcPr>
            <w:tcW w:w="5075" w:type="dxa"/>
            <w:noWrap w:val="0"/>
            <w:vAlign w:val="center"/>
          </w:tcPr>
          <w:p>
            <w:pPr>
              <w:jc w:val="left"/>
              <w:rPr>
                <w:rFonts w:ascii="宋体" w:hAnsi="宋体" w:cs="宋体"/>
                <w:sz w:val="24"/>
              </w:rPr>
            </w:pPr>
            <w:r>
              <w:rPr>
                <w:rFonts w:hint="eastAsia" w:ascii="宋体" w:hAnsi="宋体" w:cs="宋体"/>
                <w:sz w:val="24"/>
              </w:rPr>
              <w:t>申报资料时间内（分年度）举办的阅读推广活动情况（不含讲座、展览、培训）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20.1 活动场次</w:t>
            </w:r>
          </w:p>
        </w:tc>
        <w:tc>
          <w:tcPr>
            <w:tcW w:w="1032" w:type="dxa"/>
            <w:noWrap w:val="0"/>
            <w:vAlign w:val="center"/>
          </w:tcPr>
          <w:p>
            <w:pPr>
              <w:jc w:val="center"/>
              <w:rPr>
                <w:rFonts w:ascii="宋体" w:hAnsi="宋体" w:cs="宋体"/>
                <w:sz w:val="24"/>
              </w:rPr>
            </w:pPr>
            <w:r>
              <w:rPr>
                <w:rFonts w:hint="eastAsia" w:ascii="宋体" w:hAnsi="宋体" w:cs="宋体"/>
                <w:sz w:val="24"/>
              </w:rPr>
              <w:t>场次</w:t>
            </w:r>
          </w:p>
        </w:tc>
        <w:tc>
          <w:tcPr>
            <w:tcW w:w="5075" w:type="dxa"/>
            <w:noWrap w:val="0"/>
            <w:vAlign w:val="center"/>
          </w:tcPr>
          <w:p>
            <w:pPr>
              <w:jc w:val="left"/>
              <w:rPr>
                <w:rFonts w:ascii="宋体" w:hAnsi="宋体" w:cs="宋体"/>
                <w:sz w:val="24"/>
              </w:rPr>
            </w:pPr>
            <w:r>
              <w:rPr>
                <w:rFonts w:hint="eastAsia" w:ascii="宋体" w:hAnsi="宋体" w:cs="宋体"/>
                <w:sz w:val="24"/>
              </w:rPr>
              <w:t>主办、承办或协办的阅读推广活动场次（线上线下同时举办的只计1次）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20.2 参与人次</w:t>
            </w:r>
          </w:p>
        </w:tc>
        <w:tc>
          <w:tcPr>
            <w:tcW w:w="1032" w:type="dxa"/>
            <w:noWrap w:val="0"/>
            <w:vAlign w:val="center"/>
          </w:tcPr>
          <w:p>
            <w:pPr>
              <w:jc w:val="center"/>
              <w:rPr>
                <w:rFonts w:ascii="宋体" w:hAnsi="宋体" w:cs="宋体"/>
                <w:sz w:val="24"/>
              </w:rPr>
            </w:pPr>
            <w:r>
              <w:rPr>
                <w:rFonts w:hint="eastAsia" w:ascii="宋体" w:hAnsi="宋体" w:cs="宋体"/>
                <w:sz w:val="24"/>
              </w:rPr>
              <w:t>人次</w:t>
            </w:r>
          </w:p>
        </w:tc>
        <w:tc>
          <w:tcPr>
            <w:tcW w:w="5075" w:type="dxa"/>
            <w:noWrap w:val="0"/>
            <w:vAlign w:val="center"/>
          </w:tcPr>
          <w:p>
            <w:pPr>
              <w:jc w:val="left"/>
              <w:rPr>
                <w:rFonts w:ascii="宋体" w:hAnsi="宋体" w:cs="宋体"/>
                <w:sz w:val="24"/>
              </w:rPr>
            </w:pPr>
            <w:r>
              <w:rPr>
                <w:rFonts w:hint="eastAsia" w:ascii="宋体" w:hAnsi="宋体" w:cs="宋体"/>
                <w:sz w:val="24"/>
              </w:rPr>
              <w:t>参与主办、承办或协办的阅读推广活动的读者人次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21. 本馆阅读推广志愿者情况</w:t>
            </w:r>
          </w:p>
        </w:tc>
        <w:tc>
          <w:tcPr>
            <w:tcW w:w="1032" w:type="dxa"/>
            <w:noWrap w:val="0"/>
            <w:vAlign w:val="center"/>
          </w:tcPr>
          <w:p>
            <w:pPr>
              <w:jc w:val="center"/>
              <w:rPr>
                <w:rFonts w:ascii="宋体" w:hAnsi="宋体" w:cs="宋体"/>
                <w:sz w:val="24"/>
              </w:rPr>
            </w:pPr>
          </w:p>
        </w:tc>
        <w:tc>
          <w:tcPr>
            <w:tcW w:w="5075" w:type="dxa"/>
            <w:noWrap w:val="0"/>
            <w:vAlign w:val="center"/>
          </w:tcPr>
          <w:p>
            <w:pPr>
              <w:jc w:val="left"/>
              <w:rPr>
                <w:rFonts w:ascii="宋体" w:hAnsi="宋体" w:cs="宋体"/>
                <w:sz w:val="24"/>
              </w:rPr>
            </w:pPr>
            <w:r>
              <w:rPr>
                <w:rFonts w:hint="eastAsia" w:ascii="宋体" w:hAnsi="宋体" w:cs="宋体"/>
                <w:sz w:val="24"/>
              </w:rPr>
              <w:t>申报资料时间内（分年度）本馆组建的从事阅读推广工作的志愿者队伍数量、志愿者数量以及服务时长数量。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22. 阅读推广年度工作计划</w:t>
            </w:r>
          </w:p>
        </w:tc>
        <w:tc>
          <w:tcPr>
            <w:tcW w:w="1032" w:type="dxa"/>
            <w:noWrap w:val="0"/>
            <w:vAlign w:val="center"/>
          </w:tcPr>
          <w:p>
            <w:pPr>
              <w:jc w:val="center"/>
              <w:rPr>
                <w:rFonts w:ascii="宋体" w:hAnsi="宋体" w:cs="宋体"/>
                <w:sz w:val="24"/>
              </w:rPr>
            </w:pPr>
            <w:r>
              <w:rPr>
                <w:rFonts w:hint="eastAsia" w:ascii="宋体" w:hAnsi="宋体" w:cs="宋体"/>
                <w:sz w:val="24"/>
              </w:rPr>
              <w:t>份</w:t>
            </w:r>
          </w:p>
        </w:tc>
        <w:tc>
          <w:tcPr>
            <w:tcW w:w="5075" w:type="dxa"/>
            <w:noWrap w:val="0"/>
            <w:vAlign w:val="center"/>
          </w:tcPr>
          <w:p>
            <w:pPr>
              <w:jc w:val="left"/>
              <w:rPr>
                <w:rFonts w:ascii="宋体" w:hAnsi="宋体" w:cs="宋体"/>
                <w:sz w:val="24"/>
              </w:rPr>
            </w:pPr>
            <w:r>
              <w:rPr>
                <w:rFonts w:hint="eastAsia" w:ascii="宋体" w:hAnsi="宋体" w:cs="宋体"/>
                <w:sz w:val="24"/>
              </w:rPr>
              <w:t>申报资料时间内（分年度）的阅读推广活动工作计划（含特殊群体的无障碍服务内容）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23. 专业活动策划方案</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体现图书馆专业的阅读推广活动策划方案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3138" w:type="dxa"/>
            <w:noWrap w:val="0"/>
            <w:vAlign w:val="center"/>
          </w:tcPr>
          <w:p>
            <w:pPr>
              <w:rPr>
                <w:rFonts w:ascii="宋体" w:hAnsi="宋体" w:cs="宋体"/>
                <w:sz w:val="24"/>
              </w:rPr>
            </w:pPr>
            <w:r>
              <w:rPr>
                <w:rFonts w:hint="eastAsia" w:ascii="宋体" w:hAnsi="宋体" w:cs="宋体"/>
                <w:sz w:val="24"/>
              </w:rPr>
              <w:t>24. 阅读推广活动品牌建设</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图书馆组织的知名度高、影响力大、持续时间长（2年及以上）、读者广泛参与的高品质阅读推广活动的个数，以及具体的名称、起始年月、策划方案、举办形式、活动效益等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3138" w:type="dxa"/>
            <w:noWrap w:val="0"/>
            <w:vAlign w:val="center"/>
          </w:tcPr>
          <w:p>
            <w:pPr>
              <w:rPr>
                <w:rFonts w:ascii="宋体" w:hAnsi="宋体" w:cs="宋体"/>
                <w:sz w:val="24"/>
              </w:rPr>
            </w:pPr>
            <w:r>
              <w:rPr>
                <w:rFonts w:hint="eastAsia" w:ascii="宋体" w:hAnsi="宋体" w:cs="宋体"/>
                <w:sz w:val="24"/>
              </w:rPr>
              <w:t>25. 馆藏开发或文创产品</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利用馆藏开发的具有原创性、独特性的用于阅读推广的宣传品及文创产品（含数字文创产品）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26. 与社会力量合作举办阅读推广活动</w:t>
            </w:r>
          </w:p>
        </w:tc>
        <w:tc>
          <w:tcPr>
            <w:tcW w:w="1032" w:type="dxa"/>
            <w:noWrap w:val="0"/>
            <w:vAlign w:val="center"/>
          </w:tcPr>
          <w:p>
            <w:pPr>
              <w:jc w:val="center"/>
              <w:rPr>
                <w:rFonts w:ascii="宋体" w:hAnsi="宋体" w:cs="宋体"/>
                <w:sz w:val="24"/>
              </w:rPr>
            </w:pPr>
            <w:r>
              <w:rPr>
                <w:rFonts w:hint="eastAsia" w:ascii="宋体" w:hAnsi="宋体" w:cs="宋体"/>
                <w:sz w:val="24"/>
              </w:rPr>
              <w:t>次</w:t>
            </w:r>
          </w:p>
        </w:tc>
        <w:tc>
          <w:tcPr>
            <w:tcW w:w="5075" w:type="dxa"/>
            <w:noWrap w:val="0"/>
            <w:vAlign w:val="center"/>
          </w:tcPr>
          <w:p>
            <w:pPr>
              <w:jc w:val="left"/>
              <w:rPr>
                <w:rFonts w:ascii="宋体" w:hAnsi="宋体" w:cs="宋体"/>
                <w:sz w:val="24"/>
              </w:rPr>
            </w:pPr>
            <w:r>
              <w:rPr>
                <w:rFonts w:hint="eastAsia" w:ascii="宋体" w:hAnsi="宋体" w:cs="宋体"/>
                <w:sz w:val="24"/>
              </w:rPr>
              <w:t>与社会力量合作开展的阅读推广活动情况，包括社会力量资助阅读推广活动，合作举办阅读推广活动等等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5" w:type="dxa"/>
            <w:gridSpan w:val="3"/>
            <w:noWrap w:val="0"/>
            <w:vAlign w:val="center"/>
          </w:tcPr>
          <w:p>
            <w:pPr>
              <w:rPr>
                <w:rFonts w:ascii="宋体" w:hAnsi="宋体" w:cs="宋体"/>
                <w:sz w:val="24"/>
              </w:rPr>
            </w:pPr>
            <w:r>
              <w:rPr>
                <w:rFonts w:hint="eastAsia" w:ascii="宋体" w:hAnsi="宋体" w:cs="宋体"/>
                <w:b/>
                <w:bCs/>
                <w:sz w:val="24"/>
              </w:rPr>
              <w:t>三、示范作用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27. 公共媒体宣传</w:t>
            </w:r>
          </w:p>
        </w:tc>
        <w:tc>
          <w:tcPr>
            <w:tcW w:w="1032" w:type="dxa"/>
            <w:noWrap w:val="0"/>
            <w:vAlign w:val="center"/>
          </w:tcPr>
          <w:p>
            <w:pPr>
              <w:jc w:val="center"/>
              <w:rPr>
                <w:rFonts w:ascii="宋体" w:hAnsi="宋体" w:cs="宋体"/>
                <w:sz w:val="24"/>
              </w:rPr>
            </w:pPr>
            <w:r>
              <w:rPr>
                <w:rFonts w:hint="eastAsia" w:ascii="宋体" w:hAnsi="宋体" w:cs="宋体"/>
                <w:sz w:val="24"/>
              </w:rPr>
              <w:t>次</w:t>
            </w:r>
          </w:p>
        </w:tc>
        <w:tc>
          <w:tcPr>
            <w:tcW w:w="5075" w:type="dxa"/>
            <w:noWrap w:val="0"/>
            <w:vAlign w:val="center"/>
          </w:tcPr>
          <w:p>
            <w:pPr>
              <w:jc w:val="left"/>
              <w:rPr>
                <w:rFonts w:ascii="宋体" w:hAnsi="宋体" w:cs="宋体"/>
                <w:sz w:val="24"/>
              </w:rPr>
            </w:pPr>
            <w:r>
              <w:rPr>
                <w:rFonts w:hint="eastAsia" w:ascii="宋体" w:hAnsi="宋体" w:cs="宋体"/>
                <w:sz w:val="24"/>
              </w:rPr>
              <w:t>公共媒体对本馆阅读推广工作的报道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28. 自媒体宣传情况</w:t>
            </w:r>
          </w:p>
        </w:tc>
        <w:tc>
          <w:tcPr>
            <w:tcW w:w="1032" w:type="dxa"/>
            <w:noWrap w:val="0"/>
            <w:vAlign w:val="center"/>
          </w:tcPr>
          <w:p>
            <w:pPr>
              <w:jc w:val="center"/>
              <w:rPr>
                <w:rFonts w:ascii="宋体" w:hAnsi="宋体" w:cs="宋体"/>
                <w:sz w:val="24"/>
              </w:rPr>
            </w:pPr>
          </w:p>
        </w:tc>
        <w:tc>
          <w:tcPr>
            <w:tcW w:w="5075" w:type="dxa"/>
            <w:noWrap w:val="0"/>
            <w:vAlign w:val="center"/>
          </w:tcPr>
          <w:p>
            <w:pPr>
              <w:jc w:val="left"/>
              <w:rPr>
                <w:rFonts w:ascii="宋体" w:hAnsi="宋体" w:cs="宋体"/>
                <w:sz w:val="24"/>
              </w:rPr>
            </w:pPr>
            <w:r>
              <w:rPr>
                <w:rFonts w:hint="eastAsia" w:ascii="宋体" w:hAnsi="宋体" w:cs="宋体"/>
                <w:sz w:val="24"/>
              </w:rPr>
              <w:t>利用自媒体开展的阅读推广宣传情况，包括申报资料时间内（分年度）的粉丝数量、发文量和阅读量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29.经验推广</w:t>
            </w:r>
          </w:p>
        </w:tc>
        <w:tc>
          <w:tcPr>
            <w:tcW w:w="1032" w:type="dxa"/>
            <w:noWrap w:val="0"/>
            <w:vAlign w:val="center"/>
          </w:tcPr>
          <w:p>
            <w:pPr>
              <w:jc w:val="center"/>
              <w:rPr>
                <w:rFonts w:ascii="宋体" w:hAnsi="宋体" w:cs="宋体"/>
                <w:sz w:val="24"/>
              </w:rPr>
            </w:pPr>
            <w:r>
              <w:rPr>
                <w:rFonts w:hint="eastAsia" w:ascii="宋体" w:hAnsi="宋体" w:cs="宋体"/>
                <w:sz w:val="24"/>
              </w:rPr>
              <w:t>篇/次</w:t>
            </w:r>
          </w:p>
        </w:tc>
        <w:tc>
          <w:tcPr>
            <w:tcW w:w="5075" w:type="dxa"/>
            <w:noWrap w:val="0"/>
            <w:vAlign w:val="center"/>
          </w:tcPr>
          <w:p>
            <w:pPr>
              <w:jc w:val="left"/>
              <w:rPr>
                <w:rFonts w:ascii="宋体" w:hAnsi="宋体" w:cs="宋体"/>
                <w:sz w:val="24"/>
              </w:rPr>
            </w:pPr>
            <w:r>
              <w:rPr>
                <w:rFonts w:hint="eastAsia" w:ascii="宋体" w:hAnsi="宋体" w:cs="宋体"/>
                <w:sz w:val="24"/>
              </w:rPr>
              <w:t>在全民阅读相关的学术会议上的案例推广，包括专题报告、案例分享等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30.交流分享</w:t>
            </w:r>
          </w:p>
        </w:tc>
        <w:tc>
          <w:tcPr>
            <w:tcW w:w="1032" w:type="dxa"/>
            <w:noWrap w:val="0"/>
            <w:vAlign w:val="center"/>
          </w:tcPr>
          <w:p>
            <w:pPr>
              <w:jc w:val="center"/>
              <w:rPr>
                <w:rFonts w:ascii="宋体" w:hAnsi="宋体" w:cs="宋体"/>
                <w:sz w:val="24"/>
              </w:rPr>
            </w:pPr>
            <w:r>
              <w:rPr>
                <w:rFonts w:hint="eastAsia" w:ascii="宋体" w:hAnsi="宋体" w:cs="宋体"/>
                <w:sz w:val="24"/>
              </w:rPr>
              <w:t>批/次</w:t>
            </w:r>
          </w:p>
        </w:tc>
        <w:tc>
          <w:tcPr>
            <w:tcW w:w="5075" w:type="dxa"/>
            <w:noWrap w:val="0"/>
            <w:vAlign w:val="center"/>
          </w:tcPr>
          <w:p>
            <w:pPr>
              <w:jc w:val="left"/>
              <w:rPr>
                <w:rFonts w:ascii="宋体" w:hAnsi="宋体" w:cs="宋体"/>
                <w:sz w:val="24"/>
              </w:rPr>
            </w:pPr>
            <w:r>
              <w:rPr>
                <w:rFonts w:hint="eastAsia" w:ascii="宋体" w:hAnsi="宋体" w:cs="宋体"/>
                <w:sz w:val="24"/>
              </w:rPr>
              <w:t>同行到馆（赴其他馆）参观学习交流阅读推广工作经验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38" w:type="dxa"/>
            <w:noWrap w:val="0"/>
            <w:vAlign w:val="center"/>
          </w:tcPr>
          <w:p>
            <w:pPr>
              <w:rPr>
                <w:rFonts w:ascii="宋体" w:hAnsi="宋体" w:cs="宋体"/>
                <w:sz w:val="24"/>
              </w:rPr>
            </w:pPr>
            <w:r>
              <w:rPr>
                <w:rFonts w:hint="eastAsia" w:ascii="宋体" w:hAnsi="宋体" w:cs="宋体"/>
                <w:sz w:val="24"/>
              </w:rPr>
              <w:t>31.阅读推广活动工具包</w:t>
            </w:r>
          </w:p>
        </w:tc>
        <w:tc>
          <w:tcPr>
            <w:tcW w:w="1032" w:type="dxa"/>
            <w:noWrap w:val="0"/>
            <w:vAlign w:val="center"/>
          </w:tcPr>
          <w:p>
            <w:pPr>
              <w:jc w:val="center"/>
              <w:rPr>
                <w:rFonts w:ascii="宋体" w:hAnsi="宋体" w:cs="宋体"/>
                <w:sz w:val="24"/>
              </w:rPr>
            </w:pPr>
            <w:r>
              <w:rPr>
                <w:rFonts w:hint="eastAsia" w:ascii="宋体" w:hAnsi="宋体" w:cs="宋体"/>
                <w:sz w:val="24"/>
              </w:rPr>
              <w:t>个</w:t>
            </w:r>
          </w:p>
        </w:tc>
        <w:tc>
          <w:tcPr>
            <w:tcW w:w="5075" w:type="dxa"/>
            <w:noWrap w:val="0"/>
            <w:vAlign w:val="center"/>
          </w:tcPr>
          <w:p>
            <w:pPr>
              <w:jc w:val="left"/>
              <w:rPr>
                <w:rFonts w:ascii="宋体" w:hAnsi="宋体" w:cs="宋体"/>
                <w:sz w:val="24"/>
              </w:rPr>
            </w:pPr>
            <w:r>
              <w:rPr>
                <w:rFonts w:hint="eastAsia" w:ascii="宋体" w:hAnsi="宋体" w:cs="宋体"/>
                <w:sz w:val="24"/>
              </w:rPr>
              <w:t>将本馆品牌活动策划、组织和总结（即全过程）公开，便于其他图书馆借鉴、复制的工具包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32.表扬和鼓励</w:t>
            </w:r>
          </w:p>
        </w:tc>
        <w:tc>
          <w:tcPr>
            <w:tcW w:w="1032" w:type="dxa"/>
            <w:noWrap w:val="0"/>
            <w:vAlign w:val="center"/>
          </w:tcPr>
          <w:p>
            <w:pPr>
              <w:jc w:val="center"/>
              <w:rPr>
                <w:rFonts w:ascii="宋体" w:hAnsi="宋体" w:cs="宋体"/>
                <w:sz w:val="24"/>
              </w:rPr>
            </w:pPr>
            <w:r>
              <w:rPr>
                <w:rFonts w:hint="eastAsia" w:ascii="宋体" w:hAnsi="宋体" w:cs="宋体"/>
                <w:sz w:val="24"/>
              </w:rPr>
              <w:t>次</w:t>
            </w:r>
          </w:p>
        </w:tc>
        <w:tc>
          <w:tcPr>
            <w:tcW w:w="5075" w:type="dxa"/>
            <w:noWrap w:val="0"/>
            <w:vAlign w:val="center"/>
          </w:tcPr>
          <w:p>
            <w:pPr>
              <w:jc w:val="left"/>
              <w:rPr>
                <w:rFonts w:ascii="宋体" w:hAnsi="宋体" w:cs="宋体"/>
                <w:sz w:val="24"/>
              </w:rPr>
            </w:pPr>
            <w:r>
              <w:rPr>
                <w:rFonts w:hint="eastAsia" w:ascii="宋体" w:hAnsi="宋体" w:cs="宋体"/>
                <w:sz w:val="24"/>
              </w:rPr>
              <w:t>获得中国图书馆学会或省部级及以上机构对本馆阅读推广工作的表扬和鼓励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33.参与行业阅读推广工作</w:t>
            </w:r>
          </w:p>
        </w:tc>
        <w:tc>
          <w:tcPr>
            <w:tcW w:w="1032" w:type="dxa"/>
            <w:noWrap w:val="0"/>
            <w:vAlign w:val="center"/>
          </w:tcPr>
          <w:p>
            <w:pPr>
              <w:jc w:val="center"/>
              <w:rPr>
                <w:rFonts w:ascii="宋体" w:hAnsi="宋体" w:cs="宋体"/>
                <w:sz w:val="24"/>
              </w:rPr>
            </w:pPr>
            <w:r>
              <w:rPr>
                <w:rFonts w:hint="eastAsia" w:ascii="宋体" w:hAnsi="宋体" w:cs="宋体"/>
                <w:sz w:val="24"/>
              </w:rPr>
              <w:t>次</w:t>
            </w:r>
          </w:p>
        </w:tc>
        <w:tc>
          <w:tcPr>
            <w:tcW w:w="5075" w:type="dxa"/>
            <w:noWrap w:val="0"/>
            <w:vAlign w:val="center"/>
          </w:tcPr>
          <w:p>
            <w:pPr>
              <w:jc w:val="left"/>
              <w:rPr>
                <w:rFonts w:ascii="宋体" w:hAnsi="宋体" w:cs="宋体"/>
                <w:sz w:val="24"/>
              </w:rPr>
            </w:pPr>
            <w:r>
              <w:rPr>
                <w:rFonts w:hint="eastAsia" w:ascii="宋体" w:hAnsi="宋体" w:cs="宋体"/>
                <w:sz w:val="24"/>
              </w:rPr>
              <w:t>举办（含承办、协办）与阅读推广相关的论坛（如全民阅读论坛）、研讨会、案例分享会等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38" w:type="dxa"/>
            <w:noWrap w:val="0"/>
            <w:vAlign w:val="center"/>
          </w:tcPr>
          <w:p>
            <w:pPr>
              <w:rPr>
                <w:rFonts w:ascii="宋体" w:hAnsi="宋体" w:cs="宋体"/>
                <w:sz w:val="24"/>
              </w:rPr>
            </w:pPr>
            <w:r>
              <w:rPr>
                <w:rFonts w:hint="eastAsia" w:ascii="宋体" w:hAnsi="宋体" w:cs="宋体"/>
                <w:sz w:val="24"/>
              </w:rPr>
              <w:t>34. 阅读推广研究工作</w:t>
            </w:r>
          </w:p>
        </w:tc>
        <w:tc>
          <w:tcPr>
            <w:tcW w:w="1032" w:type="dxa"/>
            <w:noWrap w:val="0"/>
            <w:vAlign w:val="center"/>
          </w:tcPr>
          <w:p>
            <w:pPr>
              <w:jc w:val="center"/>
              <w:rPr>
                <w:rFonts w:ascii="宋体" w:hAnsi="宋体" w:cs="宋体"/>
                <w:sz w:val="24"/>
              </w:rPr>
            </w:pPr>
          </w:p>
        </w:tc>
        <w:tc>
          <w:tcPr>
            <w:tcW w:w="5075" w:type="dxa"/>
            <w:noWrap w:val="0"/>
            <w:vAlign w:val="center"/>
          </w:tcPr>
          <w:p>
            <w:pPr>
              <w:jc w:val="left"/>
              <w:rPr>
                <w:rFonts w:ascii="宋体" w:hAnsi="宋体" w:cs="宋体"/>
                <w:sz w:val="24"/>
              </w:rPr>
            </w:pPr>
            <w:r>
              <w:rPr>
                <w:rFonts w:hint="eastAsia" w:ascii="宋体" w:hAnsi="宋体" w:cs="宋体"/>
                <w:sz w:val="24"/>
              </w:rPr>
              <w:t>开展阅读推广理论和实践的研究工作情况，如刊印阅读内刊，发表学术论文（包括纳入中国图书馆学会或阅读推广委员会论文集、案例集的文章），开展科研课题研究，出版专著或案例集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245" w:type="dxa"/>
            <w:gridSpan w:val="3"/>
            <w:noWrap w:val="0"/>
            <w:vAlign w:val="center"/>
          </w:tcPr>
          <w:p>
            <w:pPr>
              <w:jc w:val="center"/>
              <w:rPr>
                <w:rFonts w:ascii="仿宋_GB2312" w:hAnsi="仿宋_GB2312" w:eastAsia="仿宋_GB2312" w:cs="仿宋_GB2312"/>
                <w:b/>
                <w:bCs/>
                <w:sz w:val="28"/>
                <w:szCs w:val="28"/>
              </w:rPr>
            </w:pPr>
            <w:r>
              <w:rPr>
                <w:rFonts w:hint="eastAsia" w:ascii="宋体" w:hAnsi="宋体" w:cs="宋体"/>
                <w:b/>
                <w:bCs/>
                <w:sz w:val="28"/>
                <w:szCs w:val="28"/>
              </w:rPr>
              <w:t>创新亮点、社会影响及经验模式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45" w:type="dxa"/>
            <w:gridSpan w:val="3"/>
            <w:noWrap w:val="0"/>
            <w:vAlign w:val="center"/>
          </w:tcPr>
          <w:p>
            <w:pPr>
              <w:jc w:val="left"/>
              <w:rPr>
                <w:rFonts w:ascii="宋体" w:hAnsi="宋体" w:cs="宋体"/>
                <w:sz w:val="24"/>
              </w:rPr>
            </w:pPr>
            <w:r>
              <w:rPr>
                <w:rFonts w:hint="eastAsia" w:ascii="宋体" w:hAnsi="宋体" w:cs="宋体"/>
                <w:sz w:val="24"/>
              </w:rPr>
              <w:t>1.创新亮点（具有独特创意和突出亮点的活动或做法）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245" w:type="dxa"/>
            <w:gridSpan w:val="3"/>
            <w:tcBorders>
              <w:left w:val="single" w:color="auto" w:sz="4" w:space="0"/>
            </w:tcBorders>
            <w:noWrap w:val="0"/>
            <w:vAlign w:val="center"/>
          </w:tcPr>
          <w:p>
            <w:pPr>
              <w:jc w:val="left"/>
              <w:rPr>
                <w:rFonts w:ascii="宋体" w:hAnsi="宋体" w:cs="宋体"/>
                <w:sz w:val="24"/>
              </w:rPr>
            </w:pPr>
            <w:r>
              <w:rPr>
                <w:rFonts w:hint="eastAsia" w:ascii="宋体" w:hAnsi="宋体" w:cs="宋体"/>
                <w:sz w:val="24"/>
              </w:rPr>
              <w:t>2.社会影响（对本区域、本系统和本行业的影响力与辐射度概述）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45" w:type="dxa"/>
            <w:gridSpan w:val="3"/>
            <w:tcBorders>
              <w:left w:val="single" w:color="auto" w:sz="4" w:space="0"/>
              <w:bottom w:val="nil"/>
            </w:tcBorders>
            <w:noWrap w:val="0"/>
            <w:vAlign w:val="center"/>
          </w:tcPr>
          <w:tbl>
            <w:tblPr>
              <w:tblStyle w:val="2"/>
              <w:tblpPr w:leftFromText="180" w:rightFromText="180" w:vertAnchor="text" w:horzAnchor="page" w:tblpX="-9" w:tblpY="375"/>
              <w:tblOverlap w:val="never"/>
              <w:tblW w:w="9245" w:type="dxa"/>
              <w:tblInd w:w="0" w:type="dxa"/>
              <w:tblBorders>
                <w:top w:val="single" w:color="auto" w:sz="4" w:space="0"/>
                <w:left w:val="none" w:color="auto" w:sz="0"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245"/>
            </w:tblGrid>
            <w:tr>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518" w:hRule="atLeast"/>
              </w:trPr>
              <w:tc>
                <w:tcPr>
                  <w:tcW w:w="9245" w:type="dxa"/>
                  <w:noWrap w:val="0"/>
                  <w:vAlign w:val="center"/>
                </w:tcPr>
                <w:p>
                  <w:pPr>
                    <w:jc w:val="center"/>
                    <w:rPr>
                      <w:rFonts w:ascii="仿宋_GB2312" w:hAnsi="仿宋_GB2312" w:eastAsia="仿宋_GB2312" w:cs="仿宋_GB2312"/>
                      <w:b/>
                      <w:bCs/>
                      <w:sz w:val="28"/>
                      <w:szCs w:val="28"/>
                    </w:rPr>
                  </w:pPr>
                  <w:r>
                    <w:rPr>
                      <w:rFonts w:hint="eastAsia" w:ascii="宋体" w:hAnsi="宋体" w:cs="宋体"/>
                      <w:b/>
                      <w:bCs/>
                      <w:sz w:val="28"/>
                      <w:szCs w:val="28"/>
                    </w:rPr>
                    <w:t>申报表及佐证材料情况</w:t>
                  </w:r>
                </w:p>
              </w:tc>
            </w:tr>
            <w:tr>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490" w:hRule="atLeast"/>
              </w:trPr>
              <w:tc>
                <w:tcPr>
                  <w:tcW w:w="9245" w:type="dxa"/>
                  <w:noWrap w:val="0"/>
                  <w:vAlign w:val="center"/>
                </w:tcPr>
                <w:p>
                  <w:pPr>
                    <w:jc w:val="left"/>
                    <w:rPr>
                      <w:rFonts w:hint="eastAsia" w:ascii="宋体" w:hAnsi="宋体" w:cs="宋体"/>
                      <w:sz w:val="24"/>
                    </w:rPr>
                  </w:pPr>
                  <w:r>
                    <w:rPr>
                      <w:rFonts w:hint="eastAsia" w:ascii="宋体" w:hAnsi="宋体" w:cs="宋体"/>
                      <w:sz w:val="24"/>
                    </w:rPr>
                    <w:t>按要求填写申报表并提供相应佐证材料，材料真实，表述条理，图片清晰，内容丰富。</w:t>
                  </w:r>
                </w:p>
              </w:tc>
            </w:tr>
          </w:tbl>
          <w:p>
            <w:pPr>
              <w:jc w:val="left"/>
              <w:rPr>
                <w:rFonts w:ascii="宋体" w:hAnsi="宋体" w:cs="宋体"/>
                <w:sz w:val="24"/>
              </w:rPr>
            </w:pPr>
            <w:r>
              <w:rPr>
                <w:rFonts w:hint="eastAsia" w:ascii="宋体" w:hAnsi="宋体" w:cs="宋体"/>
                <w:sz w:val="24"/>
              </w:rPr>
              <w:t>3.经验模式（具有本馆特色并在全国范围内可供其他单位参考的工作模式）</w:t>
            </w:r>
          </w:p>
        </w:tc>
      </w:tr>
    </w:tbl>
    <w:p>
      <w:pPr>
        <w:spacing w:line="540" w:lineRule="exact"/>
        <w:jc w:val="left"/>
        <w:rPr>
          <w:rFonts w:hint="eastAsia" w:ascii="方正小标宋简体" w:hAnsi="方正小标宋简体" w:eastAsia="方正小标宋简体" w:cs="方正小标宋简体"/>
          <w:bCs/>
          <w:spacing w:val="11"/>
          <w:sz w:val="32"/>
          <w:szCs w:val="32"/>
        </w:rPr>
      </w:pPr>
      <w:r>
        <w:rPr>
          <w:rFonts w:hint="eastAsia" w:ascii="方正小标宋简体" w:hAnsi="方正小标宋简体" w:eastAsia="方正小标宋简体" w:cs="方正小标宋简体"/>
          <w:bCs/>
          <w:spacing w:val="11"/>
          <w:sz w:val="32"/>
          <w:szCs w:val="32"/>
        </w:rPr>
        <w:t>指标说明：</w:t>
      </w:r>
    </w:p>
    <w:p>
      <w:pPr>
        <w:spacing w:line="540" w:lineRule="exact"/>
        <w:jc w:val="left"/>
        <w:rPr>
          <w:rFonts w:hint="eastAsia" w:ascii="仿宋_GB2312"/>
          <w:sz w:val="28"/>
        </w:rPr>
      </w:pPr>
      <w:r>
        <w:rPr>
          <w:rFonts w:hint="eastAsia" w:ascii="仿宋_GB2312" w:eastAsia="仿宋_GB2312"/>
          <w:sz w:val="28"/>
        </w:rPr>
        <w:t>1.本指标共分为三部分，一是</w:t>
      </w:r>
      <w:r>
        <w:rPr>
          <w:rFonts w:hint="eastAsia" w:ascii="仿宋_GB2312" w:hAnsi="仿宋_GB2312" w:eastAsia="仿宋_GB2312" w:cs="仿宋_GB2312"/>
          <w:sz w:val="28"/>
          <w:szCs w:val="28"/>
        </w:rPr>
        <w:t>综合指标，包括：基本情况与保障条件、</w:t>
      </w:r>
      <w:r>
        <w:rPr>
          <w:rFonts w:ascii="仿宋_GB2312" w:hAnsi="仿宋_GB2312" w:eastAsia="仿宋_GB2312" w:cs="仿宋_GB2312"/>
          <w:sz w:val="28"/>
          <w:szCs w:val="28"/>
        </w:rPr>
        <w:t>工作情况与效能</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示范作用。</w:t>
      </w:r>
      <w:r>
        <w:rPr>
          <w:rFonts w:hint="eastAsia" w:ascii="仿宋_GB2312" w:hAnsi="仿宋_GB2312" w:eastAsia="仿宋_GB2312" w:cs="仿宋_GB2312"/>
          <w:sz w:val="28"/>
          <w:szCs w:val="28"/>
        </w:rPr>
        <w:t>二是创新亮点、社会影响和经验模式。</w:t>
      </w:r>
      <w:r>
        <w:rPr>
          <w:rFonts w:hint="eastAsia" w:ascii="仿宋_GB2312" w:eastAsia="仿宋_GB2312"/>
          <w:sz w:val="28"/>
        </w:rPr>
        <w:t>三是申报表及佐证材料情况。其中第一部分“基本情况与保障条件”中，“指标11”为公共图书馆专设，“指标12”至“指标15”为非公共图书馆专设。</w:t>
      </w:r>
    </w:p>
    <w:p>
      <w:pPr>
        <w:widowControl/>
        <w:spacing w:line="540" w:lineRule="exact"/>
        <w:ind w:firstLine="560" w:firstLineChars="200"/>
        <w:jc w:val="left"/>
        <w:rPr>
          <w:rFonts w:ascii="仿宋_GB2312" w:eastAsia="仿宋_GB2312"/>
          <w:sz w:val="28"/>
        </w:rPr>
      </w:pPr>
      <w:r>
        <w:rPr>
          <w:rFonts w:hint="eastAsia" w:ascii="仿宋_GB2312" w:eastAsia="仿宋_GB2312"/>
          <w:sz w:val="28"/>
        </w:rPr>
        <w:t>2.</w:t>
      </w:r>
      <w:r>
        <w:rPr>
          <w:rFonts w:hint="eastAsia" w:ascii="仿宋_GB2312" w:hAnsi="仿宋_GB2312" w:eastAsia="仿宋_GB2312" w:cs="仿宋_GB2312"/>
          <w:sz w:val="28"/>
          <w:szCs w:val="28"/>
        </w:rPr>
        <w:t>申报时间说明：本次申报期为2022-2023年，申报资料时间为2020-2023年度期间内容。</w:t>
      </w:r>
    </w:p>
    <w:p>
      <w:r>
        <w:rPr>
          <w:rFonts w:hint="eastAsia" w:ascii="仿宋_GB2312" w:eastAsia="仿宋_GB2312"/>
          <w:sz w:val="28"/>
        </w:rPr>
        <w:t>3.</w:t>
      </w:r>
      <w:r>
        <w:rPr>
          <w:rFonts w:hint="eastAsia" w:ascii="仿宋_GB2312" w:hAnsi="仿宋_GB2312" w:eastAsia="仿宋_GB2312" w:cs="仿宋_GB2312"/>
          <w:sz w:val="28"/>
          <w:szCs w:val="28"/>
        </w:rPr>
        <w:t>表中指标都应据实进行填列，不符合自身实际的指标可填“无”。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dkZDI2YzI3M2Q3OTRlMTJlYTNlMGY4MzY1NmMifQ=="/>
  </w:docVars>
  <w:rsids>
    <w:rsidRoot w:val="65F666B5"/>
    <w:rsid w:val="267D7CB3"/>
    <w:rsid w:val="348F6779"/>
    <w:rsid w:val="65F6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2024-01-12T09:03:00Z</dcterms:created>
  <dc:creator>王焱</dc:creator>
  <cp:lastModifiedBy>王焱</cp:lastModifiedBy>
  <dcterms:modified xsi:type="dcterms:W3CDTF">2024-01-12T09:05:48Z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ED3CACD2D96D4DDA82D96707919DC3AB_13</vt:lpwstr>
  </property>
</Properties>
</file>